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Look w:val="04A0" w:firstRow="1" w:lastRow="0" w:firstColumn="1" w:lastColumn="0" w:noHBand="0" w:noVBand="1"/>
      </w:tblPr>
      <w:tblGrid>
        <w:gridCol w:w="4702"/>
        <w:gridCol w:w="4702"/>
      </w:tblGrid>
      <w:tr w:rsidR="00760592" w14:paraId="59F20202" w14:textId="77777777">
        <w:tc>
          <w:tcPr>
            <w:tcW w:w="4702" w:type="dxa"/>
          </w:tcPr>
          <w:p w14:paraId="486A1CF0" w14:textId="77777777" w:rsidR="00760592" w:rsidRDefault="00000000">
            <w:pPr>
              <w:jc w:val="center"/>
            </w:pPr>
            <w:r>
              <w:rPr>
                <w:rFonts w:cs="Times New Roman"/>
                <w:b/>
              </w:rPr>
              <w:t>BỘ Y TẾ</w:t>
            </w:r>
          </w:p>
          <w:p w14:paraId="29E506C5" w14:textId="77777777" w:rsidR="00760592" w:rsidRDefault="00000000">
            <w:pPr>
              <w:jc w:val="center"/>
            </w:pPr>
            <w:r>
              <w:rPr>
                <w:rFonts w:cs="Times New Roman"/>
              </w:rPr>
              <w:t>________</w:t>
            </w:r>
          </w:p>
          <w:p w14:paraId="52417667" w14:textId="77777777" w:rsidR="00760592" w:rsidRDefault="00000000">
            <w:pPr>
              <w:jc w:val="center"/>
            </w:pPr>
            <w:r>
              <w:rPr>
                <w:rFonts w:cs="Times New Roman"/>
              </w:rPr>
              <w:t>Số:       /2026/TT-BYT</w:t>
            </w:r>
          </w:p>
        </w:tc>
        <w:tc>
          <w:tcPr>
            <w:tcW w:w="4702" w:type="dxa"/>
          </w:tcPr>
          <w:p w14:paraId="34682828" w14:textId="77777777" w:rsidR="00760592" w:rsidRDefault="00000000">
            <w:pPr>
              <w:jc w:val="center"/>
            </w:pPr>
            <w:r>
              <w:rPr>
                <w:rFonts w:cs="Times New Roman"/>
                <w:b/>
              </w:rPr>
              <w:t>CỘNG HÒA XÃ HỘI CHỦ NGHĨA VIỆT NAM</w:t>
            </w:r>
          </w:p>
          <w:p w14:paraId="1AD95F19" w14:textId="77777777" w:rsidR="00760592" w:rsidRDefault="00000000">
            <w:pPr>
              <w:jc w:val="center"/>
            </w:pPr>
            <w:r>
              <w:rPr>
                <w:rFonts w:cs="Times New Roman"/>
                <w:b/>
                <w:sz w:val="28"/>
              </w:rPr>
              <w:t>Độc lập - Tự do - Hạnh phúc</w:t>
            </w:r>
          </w:p>
          <w:p w14:paraId="20221062" w14:textId="77777777" w:rsidR="00760592" w:rsidRDefault="00000000">
            <w:pPr>
              <w:jc w:val="center"/>
            </w:pPr>
            <w:r>
              <w:rPr>
                <w:rFonts w:cs="Times New Roman"/>
              </w:rPr>
              <w:t>_____________________</w:t>
            </w:r>
          </w:p>
          <w:p w14:paraId="55DB5252" w14:textId="77777777" w:rsidR="00760592" w:rsidRDefault="00000000">
            <w:pPr>
              <w:jc w:val="right"/>
            </w:pPr>
            <w:r>
              <w:rPr>
                <w:rFonts w:cs="Times New Roman"/>
                <w:i/>
              </w:rPr>
              <w:t>Hà Nội, ngày     tháng     năm 2026</w:t>
            </w:r>
          </w:p>
        </w:tc>
      </w:tr>
    </w:tbl>
    <w:p w14:paraId="3443E7FC" w14:textId="77777777" w:rsidR="00760592" w:rsidRDefault="00760592"/>
    <w:p w14:paraId="2C277F8C" w14:textId="77777777" w:rsidR="00760592" w:rsidRDefault="00000000">
      <w:pPr>
        <w:spacing w:before="240" w:after="120"/>
        <w:jc w:val="center"/>
      </w:pPr>
      <w:r>
        <w:rPr>
          <w:rFonts w:cs="Times New Roman"/>
          <w:b/>
          <w:sz w:val="32"/>
        </w:rPr>
        <w:t>THÔNG TƯ</w:t>
      </w:r>
    </w:p>
    <w:p w14:paraId="0254DEE7" w14:textId="77777777" w:rsidR="00760592" w:rsidRDefault="00000000">
      <w:pPr>
        <w:spacing w:after="240"/>
        <w:jc w:val="center"/>
      </w:pPr>
      <w:r>
        <w:rPr>
          <w:rFonts w:cs="Times New Roman"/>
          <w:b/>
          <w:sz w:val="28"/>
        </w:rPr>
        <w:t>Ban hành Hướng dẫn ứng dụng hồ sơ bệnh án điện tử</w:t>
      </w:r>
    </w:p>
    <w:p w14:paraId="0CF7EA82" w14:textId="77777777" w:rsidR="00760592" w:rsidRDefault="00000000">
      <w:pPr>
        <w:spacing w:after="120" w:line="312" w:lineRule="auto"/>
        <w:ind w:firstLine="567"/>
        <w:jc w:val="both"/>
      </w:pPr>
      <w:r>
        <w:rPr>
          <w:rFonts w:cs="Times New Roman"/>
          <w:i/>
        </w:rPr>
        <w:t>Căn cứ Luật Khám bệnh, chữa bệnh ngày 09 tháng 01 năm 2023;</w:t>
      </w:r>
    </w:p>
    <w:p w14:paraId="1DEC459D" w14:textId="77777777" w:rsidR="00760592" w:rsidRDefault="00000000">
      <w:pPr>
        <w:spacing w:after="120" w:line="312" w:lineRule="auto"/>
        <w:ind w:firstLine="567"/>
        <w:jc w:val="both"/>
      </w:pPr>
      <w:r>
        <w:rPr>
          <w:rFonts w:cs="Times New Roman"/>
          <w:i/>
        </w:rPr>
        <w:t>Căn cứ Luật Giao dịch điện tử ngày 22 tháng 6 năm 2023;</w:t>
      </w:r>
    </w:p>
    <w:p w14:paraId="0C374DFA" w14:textId="77777777" w:rsidR="00760592" w:rsidRDefault="00000000">
      <w:pPr>
        <w:spacing w:after="120" w:line="312" w:lineRule="auto"/>
        <w:ind w:firstLine="567"/>
        <w:jc w:val="both"/>
      </w:pPr>
      <w:r>
        <w:rPr>
          <w:rFonts w:cs="Times New Roman"/>
          <w:i/>
        </w:rPr>
        <w:t>Căn cứ Luật Công nghệ thông tin ngày 29 tháng 6 năm 2006;</w:t>
      </w:r>
    </w:p>
    <w:p w14:paraId="40B73205" w14:textId="77777777" w:rsidR="00760592" w:rsidRDefault="00000000">
      <w:pPr>
        <w:spacing w:after="120" w:line="312" w:lineRule="auto"/>
        <w:ind w:firstLine="567"/>
        <w:jc w:val="both"/>
      </w:pPr>
      <w:r>
        <w:rPr>
          <w:rFonts w:cs="Times New Roman"/>
          <w:i/>
        </w:rPr>
        <w:t>Căn cứ Luật An toàn thông tin mạng ngày 19 tháng 11 năm 2015;</w:t>
      </w:r>
    </w:p>
    <w:p w14:paraId="4F06C2DE" w14:textId="77777777" w:rsidR="00760592" w:rsidRDefault="00000000">
      <w:pPr>
        <w:spacing w:after="120" w:line="312" w:lineRule="auto"/>
        <w:ind w:firstLine="567"/>
        <w:jc w:val="both"/>
      </w:pPr>
      <w:r>
        <w:rPr>
          <w:rFonts w:cs="Times New Roman"/>
          <w:i/>
        </w:rPr>
        <w:t>Căn cứ Luật An ninh mạng ngày 12 tháng 6 năm 2018;</w:t>
      </w:r>
    </w:p>
    <w:p w14:paraId="516EA719" w14:textId="77777777" w:rsidR="00760592" w:rsidRDefault="00000000">
      <w:pPr>
        <w:spacing w:after="120" w:line="312" w:lineRule="auto"/>
        <w:ind w:firstLine="567"/>
        <w:jc w:val="both"/>
      </w:pPr>
      <w:r>
        <w:rPr>
          <w:rFonts w:cs="Times New Roman"/>
          <w:i/>
        </w:rPr>
        <w:t>Căn cứ Luật Bảo vệ dữ liệu cá nhân và các văn bản hướng dẫn thi hành;</w:t>
      </w:r>
    </w:p>
    <w:p w14:paraId="1D0D4BDE" w14:textId="77777777" w:rsidR="00760592" w:rsidRDefault="00000000">
      <w:pPr>
        <w:spacing w:after="120" w:line="312" w:lineRule="auto"/>
        <w:ind w:firstLine="567"/>
        <w:jc w:val="both"/>
      </w:pPr>
      <w:r>
        <w:rPr>
          <w:rFonts w:cs="Times New Roman"/>
          <w:i/>
        </w:rPr>
        <w:t>Căn cứ Nghị định số 95/2022/NĐ-CP ngày 15 tháng 11 năm 2022 của Chính phủ quy định chức năng, nhiệm vụ, quyền hạn và cơ cấu tổ chức của Bộ Y tế;</w:t>
      </w:r>
    </w:p>
    <w:p w14:paraId="222438B3" w14:textId="77777777" w:rsidR="00760592" w:rsidRDefault="00000000">
      <w:pPr>
        <w:spacing w:after="120" w:line="312" w:lineRule="auto"/>
        <w:ind w:firstLine="567"/>
        <w:jc w:val="both"/>
      </w:pPr>
      <w:r>
        <w:rPr>
          <w:rFonts w:cs="Times New Roman"/>
          <w:i/>
        </w:rPr>
        <w:t>Theo đề nghị của Cục trưởng Cục Quản lý Khám, chữa bệnh;</w:t>
      </w:r>
    </w:p>
    <w:p w14:paraId="629FF594" w14:textId="77777777" w:rsidR="00760592" w:rsidRDefault="00000000">
      <w:pPr>
        <w:spacing w:after="120" w:line="312" w:lineRule="auto"/>
        <w:ind w:firstLine="567"/>
        <w:jc w:val="both"/>
      </w:pPr>
      <w:r>
        <w:rPr>
          <w:rFonts w:cs="Times New Roman"/>
          <w:i/>
        </w:rPr>
        <w:t>Bộ trưởng Bộ Y tế ban hành Thông tư ban hành Hướng dẫn ứng dụng hồ sơ bệnh án điện tử.</w:t>
      </w:r>
    </w:p>
    <w:p w14:paraId="2D9D24B4" w14:textId="77777777" w:rsidR="00760592" w:rsidRDefault="00000000">
      <w:pPr>
        <w:spacing w:before="240" w:after="120" w:line="312" w:lineRule="auto"/>
        <w:jc w:val="center"/>
      </w:pPr>
      <w:r>
        <w:rPr>
          <w:rFonts w:cs="Times New Roman"/>
          <w:b/>
        </w:rPr>
        <w:t>Điều 1. Phạm vi điều chỉnh</w:t>
      </w:r>
    </w:p>
    <w:p w14:paraId="0095E37D" w14:textId="77777777" w:rsidR="00760592" w:rsidRDefault="00000000">
      <w:pPr>
        <w:spacing w:after="120" w:line="312" w:lineRule="auto"/>
        <w:ind w:firstLine="567"/>
        <w:jc w:val="both"/>
      </w:pPr>
      <w:r>
        <w:rPr>
          <w:rFonts w:cs="Times New Roman"/>
        </w:rPr>
        <w:t>Thông tư này ban hành kèm theo Hướng dẫn ứng dụng hồ sơ bệnh án điện tử (sau đây gọi là Hướng dẫn kỹ thuật) quy định về tính năng và yêu cầu chuyên môn nghiệp vụ; cấu trúc và định danh; đặc tả dữ liệu và thư viện phần tử dữ liệu; hệ thống mã, bộ giá trị, danh mục dùng chung và máy chủ thuật ngữ; quản lý biểu mẫu điện tử; tổ chức thực hiện, giám sát chất lượng và cập nhật đối với hồ sơ bệnh án điện tử tại các cơ sở khám bệnh, chữa bệnh.</w:t>
      </w:r>
    </w:p>
    <w:p w14:paraId="1144DA93" w14:textId="77777777" w:rsidR="00760592" w:rsidRDefault="00000000">
      <w:pPr>
        <w:spacing w:after="120" w:line="312" w:lineRule="auto"/>
        <w:ind w:firstLine="567"/>
        <w:jc w:val="both"/>
      </w:pPr>
      <w:r>
        <w:rPr>
          <w:rFonts w:cs="Times New Roman"/>
        </w:rPr>
        <w:t xml:space="preserve">Hồ sơ bệnh án điện tử được tổ chức theo định hướng dữ liệu có cấu trúc, có định danh, có khả năng kế thừa, sử dụng lại và liên thông giữa các đơn vị, các hệ thống thông </w:t>
      </w:r>
      <w:r>
        <w:rPr>
          <w:rFonts w:cs="Times New Roman"/>
        </w:rPr>
        <w:lastRenderedPageBreak/>
        <w:t>tin y tế; phục vụ ba mục tiêu trụ cột: bảo đảm an toàn người bệnh, giảm tải ghi chép chuyên môn và tối đa hóa giá trị sử dụng của dữ liệu lâm sàng.</w:t>
      </w:r>
    </w:p>
    <w:p w14:paraId="1981FAAB" w14:textId="77777777" w:rsidR="00760592" w:rsidRDefault="00000000">
      <w:pPr>
        <w:spacing w:after="120" w:line="312" w:lineRule="auto"/>
        <w:ind w:firstLine="567"/>
        <w:jc w:val="both"/>
      </w:pPr>
      <w:r>
        <w:rPr>
          <w:rFonts w:cs="Times New Roman"/>
        </w:rPr>
        <w:t>Thông tư và Hướng dẫn kỹ thuật kèm theo không thay thế các văn bản quy phạm pháp luật hiện hành về khám bệnh, chữa bệnh, công nghệ thông tin y tế, bảo vệ dữ liệu cá nhân, an toàn thông tin, an ninh mạng, giao dịch điện tử và hồ sơ bệnh án. Khi có nội dung chưa thống nhất, các quy định pháp luật hiện hành được ưu tiên áp dụng.</w:t>
      </w:r>
    </w:p>
    <w:p w14:paraId="2A7A391E" w14:textId="77777777" w:rsidR="00760592" w:rsidRDefault="00000000">
      <w:pPr>
        <w:spacing w:before="240" w:after="120" w:line="312" w:lineRule="auto"/>
        <w:jc w:val="center"/>
      </w:pPr>
      <w:r>
        <w:rPr>
          <w:rFonts w:cs="Times New Roman"/>
          <w:b/>
        </w:rPr>
        <w:t>Điều 2. Đối tượng áp dụng</w:t>
      </w:r>
    </w:p>
    <w:p w14:paraId="2DEDFE91" w14:textId="77777777" w:rsidR="00760592" w:rsidRDefault="00000000">
      <w:pPr>
        <w:spacing w:after="120" w:line="312" w:lineRule="auto"/>
        <w:ind w:firstLine="567"/>
        <w:jc w:val="both"/>
      </w:pPr>
      <w:r>
        <w:rPr>
          <w:rFonts w:cs="Times New Roman"/>
        </w:rPr>
        <w:t>Thông tư này áp dụng đối với cơ sở khám bệnh, chữa bệnh thuộc mọi hình thức tổ chức và mọi cấp chuyên môn kỹ thuật khi ứng dụng hồ sơ bệnh án điện tử; người đứng đầu và các cấp quản lý của cơ sở khám bệnh, chữa bệnh.</w:t>
      </w:r>
    </w:p>
    <w:p w14:paraId="1E4BC786" w14:textId="77777777" w:rsidR="00760592" w:rsidRDefault="00000000">
      <w:pPr>
        <w:spacing w:after="120" w:line="312" w:lineRule="auto"/>
        <w:ind w:firstLine="567"/>
        <w:jc w:val="both"/>
      </w:pPr>
      <w:r>
        <w:rPr>
          <w:rFonts w:cs="Times New Roman"/>
        </w:rPr>
        <w:t>Người hành nghề khám bệnh, chữa bệnh, nhân viên y tế, nhân viên hành chính, nhân viên quản lý chất lượng, nhân viên quản trị dữ liệu; bộ phận công nghệ thông tin; bộ phận quản trị dữ liệu, thư viện phần tử dữ liệu, biểu mẫu điện tử và danh mục dùng chung; bộ phận quản lý hồ sơ bệnh án và an toàn người bệnh.</w:t>
      </w:r>
    </w:p>
    <w:p w14:paraId="5C321C68" w14:textId="77777777" w:rsidR="00760592" w:rsidRDefault="00000000">
      <w:pPr>
        <w:spacing w:after="120" w:line="312" w:lineRule="auto"/>
        <w:ind w:firstLine="567"/>
        <w:jc w:val="both"/>
      </w:pPr>
      <w:r>
        <w:rPr>
          <w:rFonts w:cs="Times New Roman"/>
        </w:rPr>
        <w:t>Đơn vị phát triển, cung cấp phần mềm hồ sơ bệnh án điện tử và các tổ chức, cá nhân có liên quan đến việc xây dựng, quản lý, sử dụng và khai thác dữ liệu hồ sơ bệnh án điện tử theo quy định.</w:t>
      </w:r>
    </w:p>
    <w:p w14:paraId="0978B73C" w14:textId="77777777" w:rsidR="00760592" w:rsidRDefault="00000000">
      <w:pPr>
        <w:spacing w:after="120" w:line="312" w:lineRule="auto"/>
        <w:ind w:firstLine="567"/>
        <w:jc w:val="both"/>
      </w:pPr>
      <w:r>
        <w:rPr>
          <w:rFonts w:cs="Times New Roman"/>
        </w:rPr>
        <w:t>Các cơ quan, đơn vị có liên quan đến hoạch định chính sách, quản lý nhà nước, nghiên cứu khoa học, đào tạo và hợp tác y tế quốc tế được khuyến khích tham khảo, áp dụng nội dung Thông tư và Hướng dẫn kỹ thuật kèm theo để thống nhất cách tiếp cận quản trị dữ liệu hồ sơ bệnh án điện tử.</w:t>
      </w:r>
    </w:p>
    <w:p w14:paraId="771A34D0" w14:textId="77777777" w:rsidR="00760592" w:rsidRDefault="00000000">
      <w:pPr>
        <w:spacing w:before="240" w:after="120" w:line="312" w:lineRule="auto"/>
        <w:jc w:val="center"/>
      </w:pPr>
      <w:r>
        <w:rPr>
          <w:rFonts w:cs="Times New Roman"/>
          <w:b/>
        </w:rPr>
        <w:t>Điều 3. Giải thích từ ngữ và chữ viết tắt</w:t>
      </w:r>
    </w:p>
    <w:p w14:paraId="4368FC5C" w14:textId="77777777" w:rsidR="00760592" w:rsidRDefault="00000000">
      <w:pPr>
        <w:spacing w:after="120" w:line="312" w:lineRule="auto"/>
        <w:ind w:firstLine="567"/>
        <w:jc w:val="both"/>
      </w:pPr>
      <w:r>
        <w:rPr>
          <w:rFonts w:cs="Times New Roman"/>
        </w:rPr>
        <w:t>Trong Thông tư này và Hướng dẫn kỹ thuật kèm theo, các từ ngữ dưới đây được hiểu như sau:</w:t>
      </w:r>
    </w:p>
    <w:p w14:paraId="2DA6255F" w14:textId="77777777" w:rsidR="00760592" w:rsidRDefault="00000000">
      <w:pPr>
        <w:spacing w:after="120" w:line="312" w:lineRule="auto"/>
        <w:ind w:firstLine="567"/>
        <w:jc w:val="both"/>
      </w:pPr>
      <w:r>
        <w:rPr>
          <w:rFonts w:cs="Times New Roman"/>
        </w:rPr>
        <w:t>1. Hồ sơ bệnh án điện tử (viết tắt là HSBAĐT) là tập hợp có tổ chức các thông tin về sức khỏe, khám bệnh, chữa bệnh của người bệnh được thu thập, ghi nhận, lưu trữ, truy xuất và sử dụng bằng phương tiện điện tử theo quy định của pháp luật.</w:t>
      </w:r>
    </w:p>
    <w:p w14:paraId="59F48015" w14:textId="77777777" w:rsidR="00760592" w:rsidRDefault="00000000">
      <w:pPr>
        <w:spacing w:after="120" w:line="312" w:lineRule="auto"/>
        <w:ind w:firstLine="567"/>
        <w:jc w:val="both"/>
      </w:pPr>
      <w:r>
        <w:rPr>
          <w:rFonts w:cs="Times New Roman"/>
        </w:rPr>
        <w:t>2. Bệnh án điện tử (BAĐT) là thành phần trung tâm của HSBAĐT, phản ánh một lần khám bệnh, chữa bệnh hoặc một đợt điều trị của một người bệnh, được tổ chức theo cấu trúc chuẩn thống nhất.</w:t>
      </w:r>
    </w:p>
    <w:p w14:paraId="13E285EA" w14:textId="77777777" w:rsidR="00760592" w:rsidRDefault="00000000">
      <w:pPr>
        <w:spacing w:after="120" w:line="312" w:lineRule="auto"/>
        <w:ind w:firstLine="567"/>
        <w:jc w:val="both"/>
      </w:pPr>
      <w:r>
        <w:rPr>
          <w:rFonts w:cs="Times New Roman"/>
        </w:rPr>
        <w:lastRenderedPageBreak/>
        <w:t>3. Biểu mẫu điện tử (BMĐT) là cấu trúc hiển thị và ghi nhận thông tin được thiết kế để thu thập, cập nhật, xác nhận, hiển thị, khai thác hoặc trích xuất dữ liệu trong HSBAĐT, bao gồm bệnh án điện tử, giấy điện tử, phiếu điện tử, tài liệu điện tử và biểu mẫu điện tử chuyên khoa, chuyên ngành.</w:t>
      </w:r>
    </w:p>
    <w:p w14:paraId="74382524" w14:textId="77777777" w:rsidR="00760592" w:rsidRDefault="00000000">
      <w:pPr>
        <w:spacing w:after="120" w:line="312" w:lineRule="auto"/>
        <w:ind w:firstLine="567"/>
        <w:jc w:val="both"/>
      </w:pPr>
      <w:r>
        <w:rPr>
          <w:rFonts w:cs="Times New Roman"/>
        </w:rPr>
        <w:t>4. Nút cây cấu trúc hồ sơ bệnh án điện tử là một vị trí xác định trong cây cấu trúc phân cấp của HSBAĐT, được gán một mã định danh riêng (MNC) và được sử dụng để gắn biểu mẫu, phần tử dữ liệu và tài liệu liên quan.</w:t>
      </w:r>
    </w:p>
    <w:p w14:paraId="28F5CCB1" w14:textId="77777777" w:rsidR="00760592" w:rsidRDefault="00000000">
      <w:pPr>
        <w:spacing w:after="120" w:line="312" w:lineRule="auto"/>
        <w:ind w:firstLine="567"/>
        <w:jc w:val="both"/>
      </w:pPr>
      <w:r>
        <w:rPr>
          <w:rFonts w:cs="Times New Roman"/>
        </w:rPr>
        <w:t>5. Phần tử dữ liệu (PTDL, tiếng Anh: Data Element – DE) là đơn vị dữ liệu nhỏ nhất có ý nghĩa nghiệp vụ riêng biệt được quản lý trong Thư viện phần tử dữ liệu, gồm chỉ số gốc và các thuộc tính ngữ cảnh.</w:t>
      </w:r>
    </w:p>
    <w:p w14:paraId="78BA6A74" w14:textId="77777777" w:rsidR="00760592" w:rsidRDefault="00000000">
      <w:pPr>
        <w:spacing w:after="120" w:line="312" w:lineRule="auto"/>
        <w:ind w:firstLine="567"/>
        <w:jc w:val="both"/>
      </w:pPr>
      <w:r>
        <w:rPr>
          <w:rFonts w:cs="Times New Roman"/>
        </w:rPr>
        <w:t>6. Thư viện phần tử dữ liệu (TVPTDL) là hệ thống quản lý tập trung toàn bộ phần tử dữ liệu chuẩn được sử dụng trong HSBAĐT, bao gồm định nghĩa, kiểu dữ liệu, ràng buộc, phiên bản, trạng thái và quan hệ của từng phần tử dữ liệu.</w:t>
      </w:r>
    </w:p>
    <w:p w14:paraId="2292E146" w14:textId="77777777" w:rsidR="00760592" w:rsidRDefault="00000000">
      <w:pPr>
        <w:spacing w:after="120" w:line="312" w:lineRule="auto"/>
        <w:ind w:firstLine="567"/>
        <w:jc w:val="both"/>
      </w:pPr>
      <w:r>
        <w:rPr>
          <w:rFonts w:cs="Times New Roman"/>
        </w:rPr>
        <w:t>7. Hệ thống mã là tập hợp có cấu trúc các mã và ý nghĩa tương ứng, được sử dụng để mã hóa thông tin chuyên môn, hành chính hoặc quản trị theo một quy tắc thống nhất.</w:t>
      </w:r>
    </w:p>
    <w:p w14:paraId="77D8FAF1" w14:textId="77777777" w:rsidR="00760592" w:rsidRDefault="00000000">
      <w:pPr>
        <w:spacing w:after="120" w:line="312" w:lineRule="auto"/>
        <w:ind w:firstLine="567"/>
        <w:jc w:val="both"/>
      </w:pPr>
      <w:r>
        <w:rPr>
          <w:rFonts w:cs="Times New Roman"/>
        </w:rPr>
        <w:t>8. Bộ giá trị là tập hợp có kiểm soát các giá trị cho phép của một trường dữ liệu, được rút trích từ một hoặc nhiều hệ thống mã, có phạm vi áp dụng xác định.</w:t>
      </w:r>
    </w:p>
    <w:p w14:paraId="5A1FD873" w14:textId="77777777" w:rsidR="00760592" w:rsidRDefault="00000000">
      <w:pPr>
        <w:spacing w:after="120" w:line="312" w:lineRule="auto"/>
        <w:ind w:firstLine="567"/>
        <w:jc w:val="both"/>
      </w:pPr>
      <w:r>
        <w:rPr>
          <w:rFonts w:cs="Times New Roman"/>
        </w:rPr>
        <w:t>9. Danh mục dùng chung (DM) là tập hợp có kiểm soát các giá trị hoặc mục từ được sử dụng thống nhất trong phạm vi áp dụng xác định.</w:t>
      </w:r>
    </w:p>
    <w:p w14:paraId="12BF9902" w14:textId="77777777" w:rsidR="00760592" w:rsidRDefault="00000000">
      <w:pPr>
        <w:spacing w:after="120" w:line="312" w:lineRule="auto"/>
        <w:ind w:firstLine="567"/>
        <w:jc w:val="both"/>
      </w:pPr>
      <w:r>
        <w:rPr>
          <w:rFonts w:cs="Times New Roman"/>
        </w:rPr>
        <w:t>10. Bảng ánh xạ là tập hợp có kiểm soát các quan hệ chuyển đổi giữa mã hoặc giá trị của hai hệ thống mã, bộ giá trị hoặc danh mục, có phiên bản và phạm vi áp dụng xác định.</w:t>
      </w:r>
    </w:p>
    <w:p w14:paraId="5B5DA469" w14:textId="77777777" w:rsidR="00760592" w:rsidRDefault="00000000">
      <w:pPr>
        <w:spacing w:after="120" w:line="312" w:lineRule="auto"/>
        <w:ind w:firstLine="567"/>
        <w:jc w:val="both"/>
      </w:pPr>
      <w:r>
        <w:rPr>
          <w:rFonts w:cs="Times New Roman"/>
        </w:rPr>
        <w:t>11. Máy chủ thuật ngữ y tế (MCTTYT; tiếng Anh: Terminology Server) là hệ thống kỹ thuật dùng chung để quản lý, công bố, khai thác và đồng bộ hệ thống mã, bộ giá trị, danh mục và bảng ánh xạ cấp ngành hoặc cấp quốc gia.</w:t>
      </w:r>
    </w:p>
    <w:p w14:paraId="3279434F" w14:textId="77777777" w:rsidR="00760592" w:rsidRDefault="00000000">
      <w:pPr>
        <w:spacing w:after="120" w:line="312" w:lineRule="auto"/>
        <w:ind w:firstLine="567"/>
        <w:jc w:val="both"/>
      </w:pPr>
      <w:r>
        <w:rPr>
          <w:rFonts w:cs="Times New Roman"/>
        </w:rPr>
        <w:t>12. Kho dữ liệu lâm sàng dùng chung (KDLLS) là hệ thống lưu trữ, tích hợp và khai thác dữ liệu lâm sàng dùng chung, phục vụ quản lý chất lượng, nghiên cứu khoa học, quản trị y tế và các mục đích sử dụng thứ cấp theo quy định.</w:t>
      </w:r>
    </w:p>
    <w:p w14:paraId="71180E81" w14:textId="77777777" w:rsidR="00760592" w:rsidRDefault="00000000">
      <w:pPr>
        <w:spacing w:after="120" w:line="312" w:lineRule="auto"/>
        <w:ind w:firstLine="567"/>
        <w:jc w:val="both"/>
      </w:pPr>
      <w:r>
        <w:rPr>
          <w:rFonts w:cs="Times New Roman"/>
        </w:rPr>
        <w:t>13. Phần lõi dùng chung là tập hợp các tính năng, cấu trúc, phần tử dữ liệu, biểu mẫu, hệ thống mã, bộ giá trị và danh mục được áp dụng thống nhất trong mọi HSBAĐT, không phụ thuộc vào chuyên khoa hoặc đặc thù cơ sở khám bệnh, chữa bệnh.</w:t>
      </w:r>
    </w:p>
    <w:p w14:paraId="42F15EC7" w14:textId="77777777" w:rsidR="00760592" w:rsidRDefault="00000000">
      <w:pPr>
        <w:spacing w:after="120" w:line="312" w:lineRule="auto"/>
        <w:ind w:firstLine="567"/>
        <w:jc w:val="both"/>
      </w:pPr>
      <w:r>
        <w:rPr>
          <w:rFonts w:cs="Times New Roman"/>
        </w:rPr>
        <w:lastRenderedPageBreak/>
        <w:t>14. Phần mở rộng chuyên khoa là tập hợp các thành phần được bổ sung trên nền phần lõi dùng chung để đáp ứng đặc thù của chuyên khoa, chuyên ngành hoặc nhóm kỹ thuật, không làm thay đổi phần lõi.</w:t>
      </w:r>
    </w:p>
    <w:p w14:paraId="40CDD222" w14:textId="77777777" w:rsidR="00760592" w:rsidRDefault="00000000">
      <w:pPr>
        <w:spacing w:after="120" w:line="312" w:lineRule="auto"/>
        <w:ind w:firstLine="567"/>
        <w:jc w:val="both"/>
      </w:pPr>
      <w:r>
        <w:rPr>
          <w:rFonts w:cs="Times New Roman"/>
        </w:rPr>
        <w:t>Chữ viết tắt: KBCB – Khám bệnh, chữa bệnh; CSKBCB – Cơ sở khám bệnh, chữa bệnh; MNBTQ – Mã người bệnh toàn quốc; MNBCS – Mã người bệnh tại cơ sở; MHSCS – Mã hồ sơ tại cơ sở; MBA – Mã bệnh án; MTL – Mã tài liệu; MNC – Mã nút cây; MBG – Mã biểu mẫu; JCI, ACHS, ISO 7101, AACI – các chuẩn mực quản lý chất lượng cơ sở khám bệnh, chữa bệnh.</w:t>
      </w:r>
    </w:p>
    <w:p w14:paraId="33033406" w14:textId="77777777" w:rsidR="00760592" w:rsidRDefault="00000000">
      <w:pPr>
        <w:spacing w:before="240" w:after="120" w:line="312" w:lineRule="auto"/>
        <w:jc w:val="center"/>
      </w:pPr>
      <w:r>
        <w:rPr>
          <w:rFonts w:cs="Times New Roman"/>
          <w:b/>
        </w:rPr>
        <w:t>Điều 4. Nguyên tắc chung quản lý hồ sơ bệnh án điện tử</w:t>
      </w:r>
    </w:p>
    <w:p w14:paraId="1CEFA392" w14:textId="77777777" w:rsidR="00760592" w:rsidRDefault="00000000">
      <w:pPr>
        <w:spacing w:after="120" w:line="312" w:lineRule="auto"/>
        <w:ind w:firstLine="567"/>
        <w:jc w:val="both"/>
      </w:pPr>
      <w:r>
        <w:rPr>
          <w:rFonts w:cs="Times New Roman"/>
        </w:rPr>
        <w:t>1. Lấy người bệnh làm trung tâm: HSBAĐT phản ánh đúng, đủ, kịp thời và có ngữ cảnh về tình trạng sức khỏe, quá trình khám bệnh, chữa bệnh và chăm sóc của người bệnh; hỗ trợ trực tiếp cho an toàn người bệnh, chất lượng điều trị và quyền được chăm sóc y tế.</w:t>
      </w:r>
    </w:p>
    <w:p w14:paraId="3062E644" w14:textId="77777777" w:rsidR="00760592" w:rsidRDefault="00000000">
      <w:pPr>
        <w:spacing w:after="120" w:line="312" w:lineRule="auto"/>
        <w:ind w:firstLine="567"/>
        <w:jc w:val="both"/>
      </w:pPr>
      <w:r>
        <w:rPr>
          <w:rFonts w:cs="Times New Roman"/>
        </w:rPr>
        <w:t>2. Bảo đảm giá trị pháp lý: Dữ liệu HSBAĐT bảo đảm tính toàn vẹn, xác thực, không thể chối bỏ, sẵn sàng và truy nguyên; đáp ứng yêu cầu làm chứng cứ, căn cứ chuyên môn, thanh tra, kiểm tra, giám định và thanh toán theo quy định.</w:t>
      </w:r>
    </w:p>
    <w:p w14:paraId="5D288A74" w14:textId="77777777" w:rsidR="00760592" w:rsidRDefault="00000000">
      <w:pPr>
        <w:spacing w:after="120" w:line="312" w:lineRule="auto"/>
        <w:ind w:firstLine="567"/>
        <w:jc w:val="both"/>
      </w:pPr>
      <w:r>
        <w:rPr>
          <w:rFonts w:cs="Times New Roman"/>
        </w:rPr>
        <w:t>3. Quản trị dữ liệu – nghiệp vụ – chất lượng: Các yêu cầu về tính năng, cấu trúc, định danh, đặc tả dữ liệu, biểu mẫu điện tử và danh mục dùng chung xuất phát từ nhu cầu chuyên môn, quản trị dữ liệu và quản lý chất lượng; không phụ thuộc vào giải pháp công nghệ cụ thể.</w:t>
      </w:r>
    </w:p>
    <w:p w14:paraId="7754767A" w14:textId="77777777" w:rsidR="00760592" w:rsidRDefault="00000000">
      <w:pPr>
        <w:spacing w:after="120" w:line="312" w:lineRule="auto"/>
        <w:ind w:firstLine="567"/>
        <w:jc w:val="both"/>
      </w:pPr>
      <w:r>
        <w:rPr>
          <w:rFonts w:cs="Times New Roman"/>
        </w:rPr>
        <w:t>4. Dữ liệu có cấu trúc, ngữ nghĩa rõ ràng, dùng lại được: Các thông tin cốt lõi được ghi nhận ở dạng dữ liệu có cấu trúc, có ngữ nghĩa xác định, có khả năng liên thông và sử dụng lại; vẫn bảo đảm chỗ cho mô tả lâm sàng tự do khi cần.</w:t>
      </w:r>
    </w:p>
    <w:p w14:paraId="7E522D90" w14:textId="77777777" w:rsidR="00760592" w:rsidRDefault="00000000">
      <w:pPr>
        <w:spacing w:after="120" w:line="312" w:lineRule="auto"/>
        <w:ind w:firstLine="567"/>
        <w:jc w:val="both"/>
      </w:pPr>
      <w:r>
        <w:rPr>
          <w:rFonts w:cs="Times New Roman"/>
        </w:rPr>
        <w:t>5. Phần lõi dùng chung và phần mở rộng chuyên khoa: HSBAĐT có phần lõi dùng chung thống nhất, cho phép mở rộng theo chuyên khoa; việc mở rộng không làm thay đổi cấu trúc định danh, không làm đứt gãy khả năng liên thông, không làm mất ngữ nghĩa phần lõi.</w:t>
      </w:r>
    </w:p>
    <w:p w14:paraId="31AAE845" w14:textId="77777777" w:rsidR="00760592" w:rsidRDefault="00000000">
      <w:pPr>
        <w:spacing w:after="120" w:line="312" w:lineRule="auto"/>
        <w:ind w:firstLine="567"/>
        <w:jc w:val="both"/>
      </w:pPr>
      <w:r>
        <w:rPr>
          <w:rFonts w:cs="Times New Roman"/>
        </w:rPr>
        <w:t>6. Ghi nhận một lần, dùng nhiều lần có kiểm soát: Dữ liệu đã được ghi nhận đúng và đầy đủ được dùng lại có kiểm soát; việc dùng lại không được làm sai lệch ngữ cảnh lâm sàng và phải bảo đảm truy nguyên được nguồn dữ liệu, thời điểm phát sinh và người xác nhận lại.</w:t>
      </w:r>
    </w:p>
    <w:p w14:paraId="049D7BC2" w14:textId="77777777" w:rsidR="00760592" w:rsidRDefault="00000000">
      <w:pPr>
        <w:spacing w:after="120" w:line="312" w:lineRule="auto"/>
        <w:ind w:firstLine="567"/>
        <w:jc w:val="both"/>
      </w:pPr>
      <w:r>
        <w:rPr>
          <w:rFonts w:cs="Times New Roman"/>
        </w:rPr>
        <w:lastRenderedPageBreak/>
        <w:t>7. Truy nguyên và lưu vết: Mọi thao tác tạo lập, ghi nhận, sửa đổi, xác nhận, ký, trích xuất, in, chia sẻ, thay đổi trạng thái, khóa và lưu trữ đều được lưu vết theo nguyên tắc: ai thực hiện, thời điểm thực hiện, nội dung thay đổi và căn cứ thực hiện.</w:t>
      </w:r>
    </w:p>
    <w:p w14:paraId="28A1690A" w14:textId="77777777" w:rsidR="00760592" w:rsidRDefault="00000000">
      <w:pPr>
        <w:spacing w:after="120" w:line="312" w:lineRule="auto"/>
        <w:ind w:firstLine="567"/>
        <w:jc w:val="both"/>
      </w:pPr>
      <w:r>
        <w:rPr>
          <w:rFonts w:cs="Times New Roman"/>
        </w:rPr>
        <w:t>8. Phân quyền tối thiểu và cần để biết: Người sử dụng chỉ được phép truy cập phần thông tin cần thiết cho nhiệm vụ theo phạm vi hành nghề và chức năng được giao; việc truy cập vượt phạm vi thông thường phải được kiểm soát và lưu vết.</w:t>
      </w:r>
    </w:p>
    <w:p w14:paraId="53477AE0" w14:textId="77777777" w:rsidR="00760592" w:rsidRDefault="00000000">
      <w:pPr>
        <w:spacing w:after="120" w:line="312" w:lineRule="auto"/>
        <w:ind w:firstLine="567"/>
        <w:jc w:val="both"/>
      </w:pPr>
      <w:r>
        <w:rPr>
          <w:rFonts w:cs="Times New Roman"/>
        </w:rPr>
        <w:t>9. An toàn thông tin và bảo vệ dữ liệu cá nhân: HSBAĐT được bảo vệ theo nguyên tắc bảo đảm bí mật, toàn vẹn, sẵn sàng và đúng mục đích sử dụng; tuân thủ pháp luật về bảo vệ dữ liệu cá nhân, an toàn thông tin mạng và an ninh mạng.</w:t>
      </w:r>
    </w:p>
    <w:p w14:paraId="7841BFD5" w14:textId="77777777" w:rsidR="00760592" w:rsidRDefault="00000000">
      <w:pPr>
        <w:spacing w:after="120" w:line="312" w:lineRule="auto"/>
        <w:ind w:firstLine="567"/>
        <w:jc w:val="both"/>
      </w:pPr>
      <w:r>
        <w:rPr>
          <w:rFonts w:cs="Times New Roman"/>
        </w:rPr>
        <w:t>10. Liên thông dữ liệu trên nền chuẩn hóa: Liên thông được thực hiện trên cơ sở dữ liệu lõi dùng chung, thư viện phần tử dữ liệu chuẩn, hệ thống mã và bộ giá trị dùng chung, định danh thống nhất và chuẩn cấu trúc hồ sơ; không sao chép dữ liệu tùy nghi giữa các hệ thống.</w:t>
      </w:r>
    </w:p>
    <w:p w14:paraId="0D695421" w14:textId="77777777" w:rsidR="00760592" w:rsidRDefault="00000000">
      <w:pPr>
        <w:spacing w:after="120" w:line="312" w:lineRule="auto"/>
        <w:ind w:firstLine="567"/>
        <w:jc w:val="both"/>
      </w:pPr>
      <w:r>
        <w:rPr>
          <w:rFonts w:cs="Times New Roman"/>
        </w:rPr>
        <w:t>11. Quản lý theo vòng đời: HSBAĐT, phần tử dữ liệu, biểu mẫu điện tử, hệ thống mã, bộ giá trị và danh mục dùng chung đều được quản lý theo vòng đời từ tạo lập đến ngừng sử dụng; bảo đảm khả năng tra cứu, đối chiếu dữ liệu lịch sử.</w:t>
      </w:r>
    </w:p>
    <w:p w14:paraId="1CCD324F" w14:textId="77777777" w:rsidR="00760592" w:rsidRDefault="00000000">
      <w:pPr>
        <w:spacing w:after="120" w:line="312" w:lineRule="auto"/>
        <w:ind w:firstLine="567"/>
        <w:jc w:val="both"/>
      </w:pPr>
      <w:r>
        <w:rPr>
          <w:rFonts w:cs="Times New Roman"/>
        </w:rPr>
        <w:t>12. Quản trị tập trung, triển khai thống nhất: Các thành phần chuẩn hóa dữ liệu được quản trị tập trung tại CSKBCB và có cơ chế đồng bộ với chuẩn dùng chung cấp ngành, cấp quốc gia theo lộ trình áp dụng.</w:t>
      </w:r>
    </w:p>
    <w:p w14:paraId="070FBCA5" w14:textId="77777777" w:rsidR="00760592" w:rsidRDefault="00000000">
      <w:pPr>
        <w:spacing w:before="240" w:after="120" w:line="312" w:lineRule="auto"/>
        <w:jc w:val="center"/>
      </w:pPr>
      <w:r>
        <w:rPr>
          <w:rFonts w:cs="Times New Roman"/>
          <w:b/>
        </w:rPr>
        <w:t>Điều 5. Hướng dẫn kỹ thuật ban hành kèm theo Thông tư</w:t>
      </w:r>
    </w:p>
    <w:p w14:paraId="01C4C569" w14:textId="77777777" w:rsidR="00760592" w:rsidRDefault="00000000">
      <w:pPr>
        <w:spacing w:after="120" w:line="312" w:lineRule="auto"/>
        <w:ind w:firstLine="567"/>
        <w:jc w:val="both"/>
      </w:pPr>
      <w:r>
        <w:rPr>
          <w:rFonts w:cs="Times New Roman"/>
        </w:rPr>
        <w:t>Ban hành kèm theo Thông tư này Hướng dẫn ứng dụng hồ sơ bệnh án điện tử (sau đây gọi tắt là Hướng dẫn kỹ thuật) gồm 06 (sáu) chương và các phụ lục kỹ thuật:</w:t>
      </w:r>
    </w:p>
    <w:p w14:paraId="74D5FAD9" w14:textId="77777777" w:rsidR="00760592" w:rsidRDefault="00000000">
      <w:pPr>
        <w:spacing w:after="120" w:line="312" w:lineRule="auto"/>
        <w:ind w:firstLine="567"/>
        <w:jc w:val="both"/>
      </w:pPr>
      <w:r>
        <w:rPr>
          <w:rFonts w:cs="Times New Roman"/>
        </w:rPr>
        <w:t>Chương I – Tính năng và Yêu cầu chuyên môn nghiệp vụ của hồ sơ bệnh án điện tử.</w:t>
      </w:r>
    </w:p>
    <w:p w14:paraId="50054F65" w14:textId="77777777" w:rsidR="00760592" w:rsidRDefault="00000000">
      <w:pPr>
        <w:spacing w:after="120" w:line="312" w:lineRule="auto"/>
        <w:ind w:firstLine="567"/>
        <w:jc w:val="both"/>
      </w:pPr>
      <w:r>
        <w:rPr>
          <w:rFonts w:cs="Times New Roman"/>
        </w:rPr>
        <w:t>Chương II – Cấu trúc và Định danh hồ sơ bệnh án điện tử.</w:t>
      </w:r>
    </w:p>
    <w:p w14:paraId="76C3AA22" w14:textId="77777777" w:rsidR="00760592" w:rsidRDefault="00000000">
      <w:pPr>
        <w:spacing w:after="120" w:line="312" w:lineRule="auto"/>
        <w:ind w:firstLine="567"/>
        <w:jc w:val="both"/>
      </w:pPr>
      <w:r>
        <w:rPr>
          <w:rFonts w:cs="Times New Roman"/>
        </w:rPr>
        <w:t>Chương III – Đặc tả dữ liệu và Thư viện phần tử dữ liệu hồ sơ bệnh án điện tử.</w:t>
      </w:r>
    </w:p>
    <w:p w14:paraId="4B62CF64" w14:textId="77777777" w:rsidR="00760592" w:rsidRDefault="00000000">
      <w:pPr>
        <w:spacing w:after="120" w:line="312" w:lineRule="auto"/>
        <w:ind w:firstLine="567"/>
        <w:jc w:val="both"/>
      </w:pPr>
      <w:r>
        <w:rPr>
          <w:rFonts w:cs="Times New Roman"/>
        </w:rPr>
        <w:t>Chương IV – Hệ thống mã, Bộ giá trị, Danh mục dùng chung và Máy chủ thuật ngữ.</w:t>
      </w:r>
    </w:p>
    <w:p w14:paraId="28BAFE87" w14:textId="77777777" w:rsidR="00760592" w:rsidRDefault="00000000">
      <w:pPr>
        <w:spacing w:after="120" w:line="312" w:lineRule="auto"/>
        <w:ind w:firstLine="567"/>
        <w:jc w:val="both"/>
      </w:pPr>
      <w:r>
        <w:rPr>
          <w:rFonts w:cs="Times New Roman"/>
        </w:rPr>
        <w:t>Chương V – Quản lý Biểu mẫu điện tử.</w:t>
      </w:r>
    </w:p>
    <w:p w14:paraId="28C35AA9" w14:textId="77777777" w:rsidR="00760592" w:rsidRDefault="00000000">
      <w:pPr>
        <w:spacing w:after="120" w:line="312" w:lineRule="auto"/>
        <w:ind w:firstLine="567"/>
        <w:jc w:val="both"/>
      </w:pPr>
      <w:r>
        <w:rPr>
          <w:rFonts w:cs="Times New Roman"/>
        </w:rPr>
        <w:t>Chương VI – Tổ chức thực hiện, Giám sát chất lượng và Cập nhật.</w:t>
      </w:r>
    </w:p>
    <w:p w14:paraId="6979C229" w14:textId="77777777" w:rsidR="00760592" w:rsidRDefault="00000000">
      <w:pPr>
        <w:spacing w:after="120" w:line="312" w:lineRule="auto"/>
        <w:ind w:firstLine="567"/>
        <w:jc w:val="both"/>
      </w:pPr>
      <w:r>
        <w:rPr>
          <w:rFonts w:cs="Times New Roman"/>
        </w:rPr>
        <w:t xml:space="preserve">Các phụ lục kỹ thuật kèm theo Hướng dẫn là công cụ hỗ trợ triển khai, không thay thế nội dung các chương mà cụ thể hóa nội dung quản trị. Danh mục phụ lục được quản lý </w:t>
      </w:r>
      <w:r>
        <w:rPr>
          <w:rFonts w:cs="Times New Roman"/>
        </w:rPr>
        <w:lastRenderedPageBreak/>
        <w:t>theo phiên bản, đăng tải trên cổng thông tin điện tử của Bộ Y tế và được cập nhật độc lập với các chương nội dung.</w:t>
      </w:r>
    </w:p>
    <w:p w14:paraId="7F1A84A5" w14:textId="77777777" w:rsidR="00760592" w:rsidRDefault="00000000">
      <w:pPr>
        <w:spacing w:before="240" w:after="120" w:line="312" w:lineRule="auto"/>
        <w:jc w:val="center"/>
      </w:pPr>
      <w:r>
        <w:rPr>
          <w:rFonts w:cs="Times New Roman"/>
          <w:b/>
        </w:rPr>
        <w:t>Điều 6. Tổ chức thực hiện</w:t>
      </w:r>
    </w:p>
    <w:p w14:paraId="375FA168" w14:textId="77777777" w:rsidR="00760592" w:rsidRDefault="00000000">
      <w:pPr>
        <w:spacing w:after="120" w:line="312" w:lineRule="auto"/>
        <w:ind w:firstLine="567"/>
        <w:jc w:val="both"/>
      </w:pPr>
      <w:r>
        <w:rPr>
          <w:rFonts w:cs="Times New Roman"/>
        </w:rPr>
        <w:t>1. Cục Quản lý Khám, chữa bệnh chủ trì, phối hợp với Cục Khoa học công nghệ và Đào tạo, Cục Công nghệ thông tin (hoặc đơn vị có chức năng tương đương), Vụ Pháp chế và các đơn vị liên quan tổ chức triển khai, hướng dẫn, theo dõi, kiểm tra việc thực hiện Thông tư và Hướng dẫn kỹ thuật kèm theo; duy trì, cập nhật Hướng dẫn và các phụ lục kỹ thuật theo phiên bản.</w:t>
      </w:r>
    </w:p>
    <w:p w14:paraId="6ABFE92C" w14:textId="77777777" w:rsidR="00760592" w:rsidRDefault="00000000">
      <w:pPr>
        <w:spacing w:after="120" w:line="312" w:lineRule="auto"/>
        <w:ind w:firstLine="567"/>
        <w:jc w:val="both"/>
      </w:pPr>
      <w:r>
        <w:rPr>
          <w:rFonts w:cs="Times New Roman"/>
        </w:rPr>
        <w:t>2. Sở Y tế các tỉnh, thành phố trực thuộc Trung ương; Y tế các Bộ, ngành có trách nhiệm hướng dẫn, kiểm tra việc áp dụng Thông tư và Hướng dẫn kỹ thuật tại các cơ sở khám bệnh, chữa bệnh thuộc phạm vi quản lý.</w:t>
      </w:r>
    </w:p>
    <w:p w14:paraId="5F612762" w14:textId="77777777" w:rsidR="00760592" w:rsidRDefault="00000000">
      <w:pPr>
        <w:spacing w:after="120" w:line="312" w:lineRule="auto"/>
        <w:ind w:firstLine="567"/>
        <w:jc w:val="both"/>
      </w:pPr>
      <w:r>
        <w:rPr>
          <w:rFonts w:cs="Times New Roman"/>
        </w:rPr>
        <w:t>3. Người đứng đầu cơ sở khám bệnh, chữa bệnh chịu trách nhiệm toàn diện về tổ chức thực hiện Hướng dẫn kỹ thuật tại đơn vị; bảo đảm giá trị pháp lý của hồ sơ bệnh án điện tử; bảo đảm an toàn, bảo mật dữ liệu; bảo đảm chất lượng dữ liệu lâm sàng; ban hành quy định nội bộ, thành lập hoặc giao nhiệm vụ các đơn vị quản trị theo Chương VI Hướng dẫn kỹ thuật.</w:t>
      </w:r>
    </w:p>
    <w:p w14:paraId="2D30B1BF" w14:textId="77777777" w:rsidR="00760592" w:rsidRDefault="00000000">
      <w:pPr>
        <w:spacing w:after="120" w:line="312" w:lineRule="auto"/>
        <w:ind w:firstLine="567"/>
        <w:jc w:val="both"/>
      </w:pPr>
      <w:r>
        <w:rPr>
          <w:rFonts w:cs="Times New Roman"/>
        </w:rPr>
        <w:t>4. Cơ sở khám bệnh, chữa bệnh lồng ghép việc áp dụng Thông tư và Hướng dẫn kỹ thuật với chương trình cải tiến chất lượng bệnh viện; khuyến khích tham chiếu các chuẩn mực quản lý chất lượng được thừa nhận rộng rãi (JCI, ACHS, ISO 7101, AACI) với vai trò công cụ tham chiếu, không thay thế yêu cầu pháp lý đối với hồ sơ bệnh án.</w:t>
      </w:r>
    </w:p>
    <w:p w14:paraId="401FA961" w14:textId="77777777" w:rsidR="00760592" w:rsidRDefault="00000000">
      <w:pPr>
        <w:spacing w:after="120" w:line="312" w:lineRule="auto"/>
        <w:ind w:firstLine="567"/>
        <w:jc w:val="both"/>
      </w:pPr>
      <w:r>
        <w:rPr>
          <w:rFonts w:cs="Times New Roman"/>
        </w:rPr>
        <w:t>5. Đơn vị phát triển, cung cấp phần mềm hồ sơ bệnh án điện tử có trách nhiệm thiết kế, cấu hình và vận hành phần mềm theo đúng Hướng dẫn kỹ thuật kèm theo; phối hợp với cơ sở khám bệnh, chữa bệnh trong việc cập nhật phiên bản thư viện phần tử dữ liệu, biểu mẫu điện tử, hệ thống mã và danh mục dùng chung; cung cấp tài liệu kỹ thuật minh chứng khả năng tuân thủ.</w:t>
      </w:r>
    </w:p>
    <w:p w14:paraId="19B1C289" w14:textId="77777777" w:rsidR="00760592" w:rsidRDefault="00000000">
      <w:pPr>
        <w:spacing w:before="240" w:after="120" w:line="312" w:lineRule="auto"/>
        <w:jc w:val="center"/>
      </w:pPr>
      <w:r>
        <w:rPr>
          <w:rFonts w:cs="Times New Roman"/>
          <w:b/>
        </w:rPr>
        <w:t>Điều 7. Điều khoản chuyển tiếp</w:t>
      </w:r>
    </w:p>
    <w:p w14:paraId="5380C282" w14:textId="77777777" w:rsidR="00760592" w:rsidRDefault="00000000">
      <w:pPr>
        <w:spacing w:after="120" w:line="312" w:lineRule="auto"/>
        <w:ind w:firstLine="567"/>
        <w:jc w:val="both"/>
      </w:pPr>
      <w:r>
        <w:rPr>
          <w:rFonts w:cs="Times New Roman"/>
        </w:rPr>
        <w:t>1. Các cơ sở khám bệnh, chữa bệnh đang triển khai hồ sơ bệnh án điện tử trước ngày Thông tư này có hiệu lực có trách nhiệm rà soát, cập nhật, điều chỉnh tính năng, cấu trúc, định danh, đặc tả dữ liệu, biểu mẫu điện tử và danh mục dùng chung để phù hợp với Hướng dẫn kỹ thuật kèm theo, theo lộ trình do Bộ Y tế công bố.</w:t>
      </w:r>
    </w:p>
    <w:p w14:paraId="0DB2CCAC" w14:textId="77777777" w:rsidR="00760592" w:rsidRDefault="00000000">
      <w:pPr>
        <w:spacing w:after="120" w:line="312" w:lineRule="auto"/>
        <w:ind w:firstLine="567"/>
        <w:jc w:val="both"/>
      </w:pPr>
      <w:r>
        <w:rPr>
          <w:rFonts w:cs="Times New Roman"/>
        </w:rPr>
        <w:lastRenderedPageBreak/>
        <w:t>2. Trong thời kỳ chuyển tiếp, các biểu mẫu điện tử, phần tử dữ liệu, hệ thống mã và danh mục dùng chung hiện đang được áp dụng tại cơ sở khám bệnh, chữa bệnh được tiếp tục sử dụng song song với phiên bản chuẩn hóa; cơ sở có trách nhiệm xây dựng bảng ánh xạ giữa nội dung hiện hành và nội dung chuẩn hóa, đồng thời ban hành kế hoạch thay thế.</w:t>
      </w:r>
    </w:p>
    <w:p w14:paraId="1F6294FD" w14:textId="77777777" w:rsidR="00760592" w:rsidRDefault="00000000">
      <w:pPr>
        <w:spacing w:after="120" w:line="312" w:lineRule="auto"/>
        <w:ind w:firstLine="567"/>
        <w:jc w:val="both"/>
      </w:pPr>
      <w:r>
        <w:rPr>
          <w:rFonts w:cs="Times New Roman"/>
        </w:rPr>
        <w:t>3. Bộ Y tế công bố lộ trình chuyển đổi chi tiết, bao gồm: khung thời gian; phạm vi bắt buộc áp dụng; cơ chế hỗ trợ kỹ thuật; cơ chế giám sát tuân thủ; cơ chế xử lý vướng mắc.</w:t>
      </w:r>
    </w:p>
    <w:p w14:paraId="23FA71B9" w14:textId="77777777" w:rsidR="00760592" w:rsidRDefault="00000000">
      <w:pPr>
        <w:spacing w:before="240" w:after="120" w:line="312" w:lineRule="auto"/>
        <w:jc w:val="center"/>
      </w:pPr>
      <w:r>
        <w:rPr>
          <w:rFonts w:cs="Times New Roman"/>
          <w:b/>
        </w:rPr>
        <w:t>Điều 8. Hiệu lực thi hành</w:t>
      </w:r>
    </w:p>
    <w:p w14:paraId="59E98871" w14:textId="77777777" w:rsidR="00760592" w:rsidRDefault="00000000">
      <w:pPr>
        <w:spacing w:after="120" w:line="312" w:lineRule="auto"/>
        <w:ind w:firstLine="567"/>
        <w:jc w:val="both"/>
      </w:pPr>
      <w:r>
        <w:rPr>
          <w:rFonts w:cs="Times New Roman"/>
        </w:rPr>
        <w:t>1. Thông tư này có hiệu lực thi hành kể từ ngày     tháng     năm 2026.</w:t>
      </w:r>
    </w:p>
    <w:p w14:paraId="6F2446C4" w14:textId="77777777" w:rsidR="00760592" w:rsidRDefault="00000000">
      <w:pPr>
        <w:spacing w:after="120" w:line="312" w:lineRule="auto"/>
        <w:ind w:firstLine="567"/>
        <w:jc w:val="both"/>
      </w:pPr>
      <w:r>
        <w:rPr>
          <w:rFonts w:cs="Times New Roman"/>
        </w:rPr>
        <w:t>2. Các văn bản trước đây có nội dung trái với quy định của Thông tư này đều hết hiệu lực thi hành kể từ ngày Thông tư này có hiệu lực.</w:t>
      </w:r>
    </w:p>
    <w:p w14:paraId="5DBBC6BC" w14:textId="77777777" w:rsidR="00760592" w:rsidRDefault="00000000">
      <w:pPr>
        <w:spacing w:after="120" w:line="312" w:lineRule="auto"/>
        <w:ind w:firstLine="567"/>
        <w:jc w:val="both"/>
      </w:pPr>
      <w:r>
        <w:rPr>
          <w:rFonts w:cs="Times New Roman"/>
        </w:rPr>
        <w:t>3. Trong quá trình thực hiện, nếu có vướng mắc, các cơ quan, tổ chức, cá nhân kịp thời phản ánh về Bộ Y tế (Cục Quản lý Khám, chữa bệnh) để xem xét, giải quyết./.</w:t>
      </w:r>
    </w:p>
    <w:p w14:paraId="07C40BF8" w14:textId="77777777" w:rsidR="00760592" w:rsidRDefault="00000000">
      <w:pPr>
        <w:spacing w:before="240" w:after="120" w:line="312" w:lineRule="auto"/>
        <w:jc w:val="center"/>
      </w:pPr>
      <w:r>
        <w:rPr>
          <w:rFonts w:cs="Times New Roman"/>
          <w:b/>
        </w:rPr>
        <w:t>Điều 9. Trách nhiệm thi hành</w:t>
      </w:r>
    </w:p>
    <w:p w14:paraId="070BCB44" w14:textId="77777777" w:rsidR="00760592" w:rsidRDefault="00000000">
      <w:pPr>
        <w:spacing w:after="120" w:line="312" w:lineRule="auto"/>
        <w:ind w:firstLine="567"/>
        <w:jc w:val="both"/>
      </w:pPr>
      <w:r>
        <w:rPr>
          <w:rFonts w:cs="Times New Roman"/>
        </w:rPr>
        <w:t>1. Chánh Văn phòng Bộ, Chánh Thanh tra Bộ, Vụ trưởng các Vụ, Cục trưởng các Cục, Tổng cục trưởng các Tổng cục thuộc Bộ Y tế; Giám đốc Sở Y tế các tỉnh, thành phố trực thuộc Trung ương; Thủ trưởng Y tế các Bộ, ngành; Giám đốc các bệnh viện, viện có giường bệnh trực thuộc Bộ Y tế; người đứng đầu cơ sở khám bệnh, chữa bệnh và các cơ quan, tổ chức, cá nhân có liên quan chịu trách nhiệm thi hành Thông tư này.</w:t>
      </w:r>
    </w:p>
    <w:p w14:paraId="6A819C95" w14:textId="77777777" w:rsidR="00760592" w:rsidRDefault="00000000">
      <w:pPr>
        <w:spacing w:after="120" w:line="312" w:lineRule="auto"/>
        <w:ind w:firstLine="567"/>
        <w:jc w:val="both"/>
      </w:pPr>
      <w:r>
        <w:rPr>
          <w:rFonts w:cs="Times New Roman"/>
        </w:rPr>
        <w:t>2. Các đơn vị phát triển, cung cấp phần mềm hồ sơ bệnh án điện tử và các tổ chức, cá nhân có liên quan phối hợp thực hiện Thông tư và Hướng dẫn kỹ thuật kèm theo.</w:t>
      </w:r>
    </w:p>
    <w:p w14:paraId="0960F8C4" w14:textId="77777777" w:rsidR="00760592" w:rsidRDefault="00760592"/>
    <w:tbl>
      <w:tblPr>
        <w:tblW w:w="0" w:type="auto"/>
        <w:tblLook w:val="04A0" w:firstRow="1" w:lastRow="0" w:firstColumn="1" w:lastColumn="0" w:noHBand="0" w:noVBand="1"/>
      </w:tblPr>
      <w:tblGrid>
        <w:gridCol w:w="4702"/>
        <w:gridCol w:w="4702"/>
      </w:tblGrid>
      <w:tr w:rsidR="00760592" w14:paraId="08DF6874" w14:textId="77777777">
        <w:tc>
          <w:tcPr>
            <w:tcW w:w="4702" w:type="dxa"/>
          </w:tcPr>
          <w:p w14:paraId="68343B9C" w14:textId="77777777" w:rsidR="00760592" w:rsidRDefault="00000000">
            <w:r>
              <w:rPr>
                <w:rFonts w:cs="Times New Roman"/>
                <w:b/>
                <w:i/>
                <w:sz w:val="24"/>
              </w:rPr>
              <w:t>Nơi nhận:</w:t>
            </w:r>
          </w:p>
          <w:p w14:paraId="36DFC9A8" w14:textId="77777777" w:rsidR="00760592" w:rsidRDefault="00000000">
            <w:pPr>
              <w:spacing w:after="0"/>
            </w:pPr>
            <w:r>
              <w:rPr>
                <w:rFonts w:cs="Times New Roman"/>
                <w:sz w:val="22"/>
              </w:rPr>
              <w:t>- Ban Bí thư Trung ương Đảng;</w:t>
            </w:r>
          </w:p>
          <w:p w14:paraId="424800C8" w14:textId="77777777" w:rsidR="00760592" w:rsidRDefault="00000000">
            <w:pPr>
              <w:spacing w:after="0"/>
            </w:pPr>
            <w:r>
              <w:rPr>
                <w:rFonts w:cs="Times New Roman"/>
                <w:sz w:val="22"/>
              </w:rPr>
              <w:t>- Thủ tướng, các Phó Thủ tướng Chính phủ;</w:t>
            </w:r>
          </w:p>
          <w:p w14:paraId="5F52CED2" w14:textId="77777777" w:rsidR="00760592" w:rsidRDefault="00000000">
            <w:pPr>
              <w:spacing w:after="0"/>
            </w:pPr>
            <w:r>
              <w:rPr>
                <w:rFonts w:cs="Times New Roman"/>
                <w:sz w:val="22"/>
              </w:rPr>
              <w:t>- Văn phòng Chính phủ;</w:t>
            </w:r>
          </w:p>
          <w:p w14:paraId="06D54A26" w14:textId="77777777" w:rsidR="00760592" w:rsidRDefault="00000000">
            <w:pPr>
              <w:spacing w:after="0"/>
            </w:pPr>
            <w:r>
              <w:rPr>
                <w:rFonts w:cs="Times New Roman"/>
                <w:sz w:val="22"/>
              </w:rPr>
              <w:t>- Các Bộ, cơ quan ngang Bộ, cơ quan thuộc Chính phủ;</w:t>
            </w:r>
          </w:p>
          <w:p w14:paraId="3F8A50F2" w14:textId="77777777" w:rsidR="00760592" w:rsidRDefault="00000000">
            <w:pPr>
              <w:spacing w:after="0"/>
            </w:pPr>
            <w:r>
              <w:rPr>
                <w:rFonts w:cs="Times New Roman"/>
                <w:sz w:val="22"/>
              </w:rPr>
              <w:t>- HĐND, UBND các tỉnh, thành phố trực thuộc Trung ương;</w:t>
            </w:r>
          </w:p>
          <w:p w14:paraId="38503625" w14:textId="77777777" w:rsidR="00760592" w:rsidRDefault="00000000">
            <w:pPr>
              <w:spacing w:after="0"/>
            </w:pPr>
            <w:r>
              <w:rPr>
                <w:rFonts w:cs="Times New Roman"/>
                <w:sz w:val="22"/>
              </w:rPr>
              <w:t>- Sở Y tế các tỉnh, thành phố trực thuộc Trung ương;</w:t>
            </w:r>
          </w:p>
          <w:p w14:paraId="783A084C" w14:textId="77777777" w:rsidR="00760592" w:rsidRDefault="00000000">
            <w:pPr>
              <w:spacing w:after="0"/>
            </w:pPr>
            <w:r>
              <w:rPr>
                <w:rFonts w:cs="Times New Roman"/>
                <w:sz w:val="22"/>
              </w:rPr>
              <w:t>- Y tế các Bộ, ngành;</w:t>
            </w:r>
          </w:p>
          <w:p w14:paraId="655D4A29" w14:textId="77777777" w:rsidR="00760592" w:rsidRDefault="00000000">
            <w:pPr>
              <w:spacing w:after="0"/>
            </w:pPr>
            <w:r>
              <w:rPr>
                <w:rFonts w:cs="Times New Roman"/>
                <w:sz w:val="22"/>
              </w:rPr>
              <w:lastRenderedPageBreak/>
              <w:t>- Các đơn vị thuộc và trực thuộc Bộ Y tế;</w:t>
            </w:r>
          </w:p>
          <w:p w14:paraId="46F2FF28" w14:textId="77777777" w:rsidR="00760592" w:rsidRDefault="00000000">
            <w:pPr>
              <w:spacing w:after="0"/>
            </w:pPr>
            <w:r>
              <w:rPr>
                <w:rFonts w:cs="Times New Roman"/>
                <w:sz w:val="22"/>
              </w:rPr>
              <w:t>- Bệnh viện trực thuộc Bộ Y tế;</w:t>
            </w:r>
          </w:p>
          <w:p w14:paraId="73336976" w14:textId="77777777" w:rsidR="00760592" w:rsidRDefault="00000000">
            <w:pPr>
              <w:spacing w:after="0"/>
            </w:pPr>
            <w:r>
              <w:rPr>
                <w:rFonts w:cs="Times New Roman"/>
                <w:sz w:val="22"/>
              </w:rPr>
              <w:t>- Cổng thông tin điện tử Chính phủ;</w:t>
            </w:r>
          </w:p>
          <w:p w14:paraId="1661BC18" w14:textId="77777777" w:rsidR="00760592" w:rsidRDefault="00000000">
            <w:pPr>
              <w:spacing w:after="0"/>
            </w:pPr>
            <w:r>
              <w:rPr>
                <w:rFonts w:cs="Times New Roman"/>
                <w:sz w:val="22"/>
              </w:rPr>
              <w:t>- Cổng thông tin điện tử Bộ Y tế;</w:t>
            </w:r>
          </w:p>
          <w:p w14:paraId="3E79B1AC" w14:textId="77777777" w:rsidR="00760592" w:rsidRDefault="00000000">
            <w:pPr>
              <w:spacing w:after="0"/>
            </w:pPr>
            <w:r>
              <w:rPr>
                <w:rFonts w:cs="Times New Roman"/>
                <w:sz w:val="22"/>
              </w:rPr>
              <w:t>- Cục Kiểm tra văn bản QPPL (Bộ Tư pháp);</w:t>
            </w:r>
          </w:p>
          <w:p w14:paraId="5DA1DBDD" w14:textId="77777777" w:rsidR="00760592" w:rsidRDefault="00000000">
            <w:pPr>
              <w:spacing w:after="0"/>
            </w:pPr>
            <w:r>
              <w:rPr>
                <w:rFonts w:cs="Times New Roman"/>
                <w:sz w:val="22"/>
              </w:rPr>
              <w:t>- Công báo;</w:t>
            </w:r>
          </w:p>
          <w:p w14:paraId="257C98F6" w14:textId="77777777" w:rsidR="00760592" w:rsidRDefault="00000000">
            <w:pPr>
              <w:spacing w:after="0"/>
            </w:pPr>
            <w:r>
              <w:rPr>
                <w:rFonts w:cs="Times New Roman"/>
                <w:sz w:val="22"/>
              </w:rPr>
              <w:t>- Lưu: VT, KCB, K2ĐT, PC.</w:t>
            </w:r>
          </w:p>
        </w:tc>
        <w:tc>
          <w:tcPr>
            <w:tcW w:w="4702" w:type="dxa"/>
          </w:tcPr>
          <w:p w14:paraId="3804C985" w14:textId="77777777" w:rsidR="00760592" w:rsidRDefault="00000000">
            <w:pPr>
              <w:jc w:val="center"/>
            </w:pPr>
            <w:r>
              <w:rPr>
                <w:rFonts w:cs="Times New Roman"/>
                <w:b/>
              </w:rPr>
              <w:lastRenderedPageBreak/>
              <w:t>KT. BỘ TRƯỞNG</w:t>
            </w:r>
          </w:p>
          <w:p w14:paraId="2AB3B6FA" w14:textId="77777777" w:rsidR="00760592" w:rsidRDefault="00000000">
            <w:pPr>
              <w:jc w:val="center"/>
            </w:pPr>
            <w:r>
              <w:rPr>
                <w:rFonts w:cs="Times New Roman"/>
                <w:b/>
              </w:rPr>
              <w:t>THỨ TRƯỞNG</w:t>
            </w:r>
          </w:p>
          <w:p w14:paraId="4B7F6F7C" w14:textId="77777777" w:rsidR="00760592" w:rsidRDefault="00760592"/>
          <w:p w14:paraId="72E4B9A4" w14:textId="77777777" w:rsidR="00760592" w:rsidRDefault="00760592"/>
          <w:p w14:paraId="4BB2C15D" w14:textId="77777777" w:rsidR="00760592" w:rsidRDefault="00760592"/>
          <w:p w14:paraId="23B0DF22" w14:textId="77777777" w:rsidR="00760592" w:rsidRDefault="00760592"/>
          <w:p w14:paraId="536CE6BB" w14:textId="77777777" w:rsidR="00760592" w:rsidRDefault="00760592"/>
          <w:p w14:paraId="13DC636F" w14:textId="77777777" w:rsidR="00760592" w:rsidRDefault="00000000">
            <w:pPr>
              <w:jc w:val="center"/>
            </w:pPr>
            <w:r>
              <w:rPr>
                <w:rFonts w:cs="Times New Roman"/>
                <w:b/>
              </w:rPr>
              <w:t>(Họ và tên người ký)</w:t>
            </w:r>
          </w:p>
        </w:tc>
      </w:tr>
    </w:tbl>
    <w:p w14:paraId="7DB6D66B" w14:textId="77777777" w:rsidR="00FA566C" w:rsidRDefault="00FA566C"/>
    <w:sectPr w:rsidR="00FA566C" w:rsidSect="0003461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4110005">
    <w:abstractNumId w:val="8"/>
  </w:num>
  <w:num w:numId="2" w16cid:durableId="966740238">
    <w:abstractNumId w:val="6"/>
  </w:num>
  <w:num w:numId="3" w16cid:durableId="818770066">
    <w:abstractNumId w:val="5"/>
  </w:num>
  <w:num w:numId="4" w16cid:durableId="1528451264">
    <w:abstractNumId w:val="4"/>
  </w:num>
  <w:num w:numId="5" w16cid:durableId="362676762">
    <w:abstractNumId w:val="7"/>
  </w:num>
  <w:num w:numId="6" w16cid:durableId="1875462852">
    <w:abstractNumId w:val="3"/>
  </w:num>
  <w:num w:numId="7" w16cid:durableId="1386099288">
    <w:abstractNumId w:val="2"/>
  </w:num>
  <w:num w:numId="8" w16cid:durableId="298805470">
    <w:abstractNumId w:val="1"/>
  </w:num>
  <w:num w:numId="9" w16cid:durableId="4515565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oNotDisplayPageBoundaries/>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500D"/>
    <w:rsid w:val="0029639D"/>
    <w:rsid w:val="00326F90"/>
    <w:rsid w:val="00760592"/>
    <w:rsid w:val="00AA1D8D"/>
    <w:rsid w:val="00B47730"/>
    <w:rsid w:val="00CB0664"/>
    <w:rsid w:val="00F3554E"/>
    <w:rsid w:val="00FA56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390B45"/>
  <w14:defaultImageDpi w14:val="300"/>
  <w15:docId w15:val="{9E8B7AF1-F654-0D48-AD60-92699849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3177</Words>
  <Characters>11121</Characters>
  <Application>Microsoft Office Word</Application>
  <DocSecurity>0</DocSecurity>
  <Lines>231</Lines>
  <Paragraphs>129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 Thai Son</cp:lastModifiedBy>
  <cp:revision>2</cp:revision>
  <dcterms:created xsi:type="dcterms:W3CDTF">2026-08-09T19:04:00Z</dcterms:created>
  <dcterms:modified xsi:type="dcterms:W3CDTF">2026-08-09T19:04:00Z</dcterms:modified>
  <cp:category/>
</cp:coreProperties>
</file>